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Приложение № 5</w:t>
      </w:r>
    </w:p>
    <w:p>
      <w:pPr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к конкурсной документации</w:t>
      </w:r>
    </w:p>
    <w:p>
      <w:pPr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16"/>
          <w:shd w:fill="auto" w:val="clear"/>
        </w:rPr>
        <w:t xml:space="preserve">                          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УТВЕРЖДАЮ</w:t>
      </w:r>
    </w:p>
    <w:p>
      <w:pPr>
        <w:spacing w:before="0" w:after="0" w:line="276"/>
        <w:ind w:right="0" w:left="0" w:firstLine="0"/>
        <w:jc w:val="center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Глава администрации</w:t>
      </w:r>
    </w:p>
    <w:p>
      <w:pPr>
        <w:spacing w:before="0" w:after="0" w:line="276"/>
        <w:ind w:right="0" w:left="0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Белогорского сельского поселения</w:t>
      </w:r>
    </w:p>
    <w:p>
      <w:pPr>
        <w:spacing w:before="0" w:after="0" w:line="276"/>
        <w:ind w:right="0" w:left="6024" w:firstLine="0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Е.И. Пономарева</w:t>
      </w:r>
    </w:p>
    <w:p>
      <w:pPr>
        <w:spacing w:before="0" w:after="0" w:line="276"/>
        <w:ind w:right="0" w:left="6024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567"/>
        <w:jc w:val="righ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«___»_______________2014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76"/>
        <w:ind w:right="0" w:left="0" w:firstLine="567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ПЕРЕЧЕНЬ</w:t>
      </w:r>
    </w:p>
    <w:p>
      <w:pPr>
        <w:spacing w:before="0" w:after="200" w:line="276"/>
        <w:ind w:right="0" w:left="0" w:firstLine="567"/>
        <w:jc w:val="center"/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4"/>
          <w:shd w:fill="auto" w:val="clear"/>
        </w:rPr>
        <w:t xml:space="preserve">обязательных работ и услуг по содержанию и ремонту объекта конкурса </w:t>
      </w:r>
    </w:p>
    <w:tbl>
      <w:tblPr/>
      <w:tblGrid>
        <w:gridCol w:w="540"/>
        <w:gridCol w:w="3795"/>
        <w:gridCol w:w="2010"/>
        <w:gridCol w:w="1560"/>
        <w:gridCol w:w="1666"/>
      </w:tblGrid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Периодичность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Годовая плата (рублей)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 на 1 кв. м общей площади (рублей  в месяц)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Уборка земельного участка, входящего в состав общего имущества многоквартирного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надобности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24,96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2,08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Подготовка многоквартирного дома к сезонной эксплуатации 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раза в год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26,64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2,22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технических осмотров и мелкий ремонт 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ежемесячно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5,04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0,42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Аварийное обслуживание: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13,56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1,13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Выполнение заявок населения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 течение 3-х суток с момента поступления заявки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0,25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Дезинсекция мест общего пользования (подвалы)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 </w:t>
            </w: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 в год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2,28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0,19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дверей 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надобности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37,68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3,14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Обеспечивать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 Правилами предоставления коммунальных услуг гражданам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5,04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0,42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Обеспечивать готовность внутридомовых инженерных систем электроснабжения и электрического оборудования, входящих в состав общего имущества, к предоставлению коммунальных услуг электроснабжения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14,64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1,22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Поддерживать помещения, входящие в состав общего имущества, в состоянии, обеспечивающем установленные законодательством РФ температуру и влажность в таких помещениях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5,04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0,42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Принимать меры пожарной безопасности в соответствии с законодательством РФ о пожарной безопасности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13,56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1,13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37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обязательных  в отношении общего имущества мероприятий по энергосбережению и повышению энергетической  эффективности, включенных в утвержденный в установленном законодательством РФ порядке перечень мероприятий</w:t>
            </w:r>
          </w:p>
        </w:tc>
        <w:tc>
          <w:tcPr>
            <w:tcW w:w="20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надобности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2,28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0,19</w:t>
            </w:r>
          </w:p>
        </w:tc>
      </w:tr>
      <w:tr>
        <w:trPr>
          <w:trHeight w:val="1" w:hRule="atLeast"/>
          <w:jc w:val="left"/>
        </w:trPr>
        <w:tc>
          <w:tcPr>
            <w:tcW w:w="5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580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 CYR" w:hAnsi="Times New Roman CYR" w:cs="Times New Roman CYR" w:eastAsia="Times New Roman CYR"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 за содержание 1 м2 помещения многоквартирного дома: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153,72</w:t>
            </w:r>
          </w:p>
        </w:tc>
        <w:tc>
          <w:tcPr>
            <w:tcW w:w="166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12,81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